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D7A492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1856E3" w:rsidRPr="001856E3">
        <w:rPr>
          <w:bCs/>
          <w:noProof w:val="0"/>
          <w:sz w:val="24"/>
          <w:szCs w:val="24"/>
        </w:rPr>
        <w:t>R2-1904261</w:t>
      </w:r>
    </w:p>
    <w:p w14:paraId="11776FA6" w14:textId="675521BA" w:rsidR="00A209D6" w:rsidRPr="00465587" w:rsidRDefault="0072073A" w:rsidP="00A209D6">
      <w:pPr>
        <w:pStyle w:val="Header"/>
        <w:tabs>
          <w:tab w:val="right" w:pos="9639"/>
        </w:tabs>
        <w:rPr>
          <w:rFonts w:eastAsia="SimSun"/>
          <w:bCs/>
          <w:sz w:val="24"/>
          <w:szCs w:val="24"/>
          <w:lang w:eastAsia="zh-CN"/>
        </w:rPr>
      </w:pPr>
      <w:r>
        <w:rPr>
          <w:rFonts w:eastAsia="SimSun"/>
          <w:bCs/>
          <w:sz w:val="24"/>
          <w:szCs w:val="24"/>
          <w:lang w:eastAsia="zh-CN"/>
        </w:rPr>
        <w:t>Xian</w:t>
      </w:r>
      <w:r w:rsidR="00A209D6" w:rsidRPr="00465587">
        <w:rPr>
          <w:rFonts w:eastAsia="SimSun"/>
          <w:bCs/>
          <w:sz w:val="24"/>
          <w:szCs w:val="24"/>
          <w:lang w:eastAsia="zh-CN"/>
        </w:rPr>
        <w:t xml:space="preserve">, </w:t>
      </w:r>
      <w:r>
        <w:rPr>
          <w:rFonts w:eastAsia="SimSun"/>
          <w:bCs/>
          <w:sz w:val="24"/>
          <w:szCs w:val="24"/>
          <w:lang w:eastAsia="zh-CN"/>
        </w:rPr>
        <w:t>China</w:t>
      </w:r>
      <w:r w:rsidR="00A209D6" w:rsidRPr="00465587">
        <w:rPr>
          <w:rFonts w:eastAsia="SimSun"/>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948B1A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56E3" w:rsidRPr="001856E3">
        <w:rPr>
          <w:rFonts w:cs="Arial"/>
          <w:b/>
          <w:bCs/>
          <w:sz w:val="24"/>
          <w:lang w:eastAsia="ja-JP"/>
        </w:rPr>
        <w:t>11.5.3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ABD18E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B5EB9">
        <w:rPr>
          <w:rFonts w:ascii="Arial" w:hAnsi="Arial" w:cs="Arial"/>
          <w:b/>
          <w:bCs/>
          <w:sz w:val="24"/>
        </w:rPr>
        <w:t>On delta signalling aspects for UE Capability ID</w:t>
      </w:r>
    </w:p>
    <w:p w14:paraId="1F147C23" w14:textId="277AB49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502B">
        <w:rPr>
          <w:rFonts w:ascii="Arial" w:hAnsi="Arial" w:cs="Arial"/>
          <w:b/>
          <w:bCs/>
          <w:sz w:val="24"/>
        </w:rPr>
        <w:t>RACS_RAN</w:t>
      </w:r>
      <w:bookmarkStart w:id="0" w:name="_GoBack"/>
      <w:bookmarkEnd w:id="0"/>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6080E91E" w:rsidR="00A209D6" w:rsidRDefault="00CB5EB9" w:rsidP="00A209D6">
      <w:r>
        <w:t>During the RAN plenary discussions, the following was agreed as the objective of the WI</w:t>
      </w:r>
      <w:r w:rsidR="00D14267">
        <w:t xml:space="preserve"> [5]</w:t>
      </w:r>
      <w:r>
        <w:t>.</w:t>
      </w:r>
    </w:p>
    <w:tbl>
      <w:tblPr>
        <w:tblStyle w:val="TableGrid"/>
        <w:tblW w:w="0" w:type="auto"/>
        <w:tblLook w:val="04A0" w:firstRow="1" w:lastRow="0" w:firstColumn="1" w:lastColumn="0" w:noHBand="0" w:noVBand="1"/>
      </w:tblPr>
      <w:tblGrid>
        <w:gridCol w:w="9631"/>
      </w:tblGrid>
      <w:tr w:rsidR="00CB5EB9" w14:paraId="4A528F9B" w14:textId="77777777" w:rsidTr="00CB5EB9">
        <w:tc>
          <w:tcPr>
            <w:tcW w:w="9631" w:type="dxa"/>
          </w:tcPr>
          <w:p w14:paraId="5C5C1070" w14:textId="77777777" w:rsidR="00CB5EB9" w:rsidRDefault="00CB5EB9" w:rsidP="00CB5EB9">
            <w:pPr>
              <w:pStyle w:val="Heading2"/>
            </w:pPr>
            <w:r>
              <w:t>4</w:t>
            </w:r>
            <w:r>
              <w:tab/>
              <w:t>Objective</w:t>
            </w:r>
            <w:r>
              <w:tab/>
            </w:r>
          </w:p>
          <w:p w14:paraId="52EF7E70" w14:textId="77777777" w:rsidR="00CB5EB9" w:rsidRPr="004E3261" w:rsidRDefault="00CB5EB9" w:rsidP="00CB5EB9">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8D28227" w14:textId="77777777" w:rsidR="00CB5EB9" w:rsidRDefault="00CB5EB9" w:rsidP="00CB5EB9">
            <w:r>
              <w:t>The work is expected to proceed as follows:</w:t>
            </w:r>
          </w:p>
          <w:p w14:paraId="4ED7E87C" w14:textId="77777777" w:rsidR="00CB5EB9" w:rsidRPr="00D1677E" w:rsidRDefault="00CB5EB9" w:rsidP="00CB5EB9">
            <w:pPr>
              <w:pStyle w:val="B1"/>
              <w:rPr>
                <w:lang w:val="en-US"/>
              </w:rPr>
            </w:pPr>
            <w:r w:rsidRPr="00CA4E54">
              <w:rPr>
                <w:lang w:val="en-US"/>
              </w:rPr>
              <w:t>-</w:t>
            </w:r>
            <w:r w:rsidRPr="00CA4E54">
              <w:rPr>
                <w:lang w:val="en-US"/>
              </w:rPr>
              <w:tab/>
            </w:r>
            <w:r>
              <w:t>Specify the mechanism to optimize the UE Radio Capability signaling using UE capability identity (in coordination with SA2); [RAN2, RAN3]</w:t>
            </w:r>
            <w:r>
              <w:rPr>
                <w:lang w:val="en-US"/>
              </w:rPr>
              <w:t>;</w:t>
            </w:r>
          </w:p>
          <w:p w14:paraId="4BFEC07A" w14:textId="77777777" w:rsidR="00CB5EB9" w:rsidRDefault="00CB5EB9" w:rsidP="00CB5EB9">
            <w:pPr>
              <w:pStyle w:val="B1"/>
              <w:ind w:firstLine="0"/>
              <w:rPr>
                <w:lang w:val="en-US"/>
              </w:rPr>
            </w:pPr>
            <w:r>
              <w:rPr>
                <w:lang w:val="en-US"/>
              </w:rPr>
              <w:t>-</w:t>
            </w:r>
            <w:r>
              <w:rPr>
                <w:lang w:val="en-US"/>
              </w:rPr>
              <w:tab/>
              <w:t>Signalling enhancements to be specified for both E-UTRA and NR;</w:t>
            </w:r>
          </w:p>
          <w:p w14:paraId="072AE396" w14:textId="77777777" w:rsidR="00CB5EB9" w:rsidRPr="00B67F28" w:rsidRDefault="00CB5EB9" w:rsidP="00CB5EB9">
            <w:pPr>
              <w:pStyle w:val="B1"/>
              <w:ind w:firstLine="0"/>
              <w:rPr>
                <w:lang w:val="en-US"/>
              </w:rPr>
            </w:pPr>
            <w:r>
              <w:rPr>
                <w:lang w:val="en-US"/>
              </w:rPr>
              <w:t>-</w:t>
            </w:r>
            <w:r>
              <w:rPr>
                <w:lang w:val="en-US"/>
              </w:rPr>
              <w:tab/>
              <w:t xml:space="preserve">After initial discussion of UE capability identify, </w:t>
            </w:r>
            <w:r w:rsidRPr="00CB5EB9">
              <w:rPr>
                <w:highlight w:val="yellow"/>
                <w:lang w:val="en-US"/>
              </w:rPr>
              <w:t>whether simple delta signalling for the UE capability identity is specified will be concluded as part of the work</w:t>
            </w:r>
            <w:r>
              <w:rPr>
                <w:lang w:val="en-US"/>
              </w:rPr>
              <w:t>;</w:t>
            </w:r>
          </w:p>
          <w:p w14:paraId="1369AE1D" w14:textId="77777777" w:rsidR="00CB5EB9" w:rsidRDefault="00CB5EB9" w:rsidP="00CB5EB9">
            <w:pPr>
              <w:pStyle w:val="B1"/>
              <w:rPr>
                <w:lang w:val="en-US"/>
              </w:rPr>
            </w:pPr>
            <w:r>
              <w:rPr>
                <w:lang w:val="en-US"/>
              </w:rPr>
              <w:t>-</w:t>
            </w:r>
            <w:r>
              <w:rPr>
                <w:lang w:val="en-US"/>
              </w:rPr>
              <w:tab/>
            </w:r>
            <w:r w:rsidRPr="002B1A97">
              <w:rPr>
                <w:lang w:val="en-US"/>
              </w:rPr>
              <w:t>RAN2 to specify the mechanism for the segmentation of UE Radio Capability signaling at RRC (for cases when the UE capability size exceeds the maximum PDCP SDU size)</w:t>
            </w:r>
            <w:r>
              <w:rPr>
                <w:lang w:val="en-US"/>
              </w:rPr>
              <w:t>.</w:t>
            </w:r>
          </w:p>
          <w:p w14:paraId="73BD9037" w14:textId="0D28A242" w:rsidR="00CB5EB9" w:rsidRPr="00CB5EB9" w:rsidRDefault="00CB5EB9" w:rsidP="00CB5EB9">
            <w:pPr>
              <w:pStyle w:val="B1"/>
              <w:ind w:left="0" w:firstLine="0"/>
              <w:rPr>
                <w:lang w:val="en-US"/>
              </w:rPr>
            </w:pPr>
            <w:r>
              <w:rPr>
                <w:lang w:val="en-US"/>
              </w:rPr>
              <w:t>The work encompasses both 5GS and EPS.  Work will be done in collaboration with SA WGs for the related system architectural aspects and CT WGs for the CN interfaces.</w:t>
            </w:r>
          </w:p>
        </w:tc>
      </w:tr>
    </w:tbl>
    <w:p w14:paraId="0CC15971" w14:textId="6AE56D2E" w:rsidR="00CB5EB9" w:rsidRDefault="00CB5EB9" w:rsidP="00A209D6"/>
    <w:p w14:paraId="7E9A682E" w14:textId="37283638" w:rsidR="00CB5EB9" w:rsidRDefault="00CB5EB9" w:rsidP="00A209D6">
      <w:r>
        <w:t>In this contribution, we present our view on what aspects to consider for delta signalling.</w:t>
      </w:r>
    </w:p>
    <w:p w14:paraId="2BBFF540" w14:textId="615E416B" w:rsidR="00A209D6" w:rsidRPr="006E13D1" w:rsidRDefault="00A209D6" w:rsidP="00A209D6">
      <w:pPr>
        <w:pStyle w:val="Heading1"/>
      </w:pPr>
      <w:r w:rsidRPr="006E13D1">
        <w:t>2</w:t>
      </w:r>
      <w:r w:rsidRPr="006E13D1">
        <w:tab/>
      </w:r>
      <w:r w:rsidR="00CB5EB9">
        <w:t>Background</w:t>
      </w:r>
    </w:p>
    <w:p w14:paraId="4F547731" w14:textId="3038FDC9" w:rsidR="00A209D6" w:rsidRDefault="00582872" w:rsidP="00A209D6">
      <w:r>
        <w:t>When the UE changes its capability due to some reason (e.g. RAT on/off), a NAS level procedure is triggered for the network to know the renewed capabilities of the UE. These procedures are described in TS 23.501. It is understood that the core network is supposed to ask the RAN to retrieve the updated UE capabilities (inside the UE the NAS informs the AS appropriately which ensures that the sync is there within the UE for the imminent update).</w:t>
      </w:r>
    </w:p>
    <w:p w14:paraId="531632C8" w14:textId="0E5AA7C0" w:rsidR="00582872" w:rsidRDefault="00582872" w:rsidP="00A209D6">
      <w:r>
        <w:t>In the context of the UE Capability ID, this unfortunately means that even a 1 bit change of capability will result in the core network requiring the full UE capabilities to be retrieved. Depending on the frequency of the occurrence of the underlying use case, this may or may not present a problem.</w:t>
      </w:r>
    </w:p>
    <w:p w14:paraId="46E22726" w14:textId="16A6A976" w:rsidR="00582872" w:rsidRDefault="00582872" w:rsidP="00A209D6">
      <w:pPr>
        <w:rPr>
          <w:b/>
        </w:rPr>
      </w:pPr>
      <w:r w:rsidRPr="00582872">
        <w:rPr>
          <w:b/>
        </w:rPr>
        <w:t xml:space="preserve">Observation 1: </w:t>
      </w:r>
      <w:r>
        <w:rPr>
          <w:b/>
        </w:rPr>
        <w:t>A small change in UE capabilities requires the network to flush the entire stored set and retrieve the capabilities from the UE once again.</w:t>
      </w:r>
    </w:p>
    <w:p w14:paraId="12BFD06A" w14:textId="205D5A64" w:rsidR="00582872" w:rsidRDefault="00560363" w:rsidP="00A209D6">
      <w:pPr>
        <w:rPr>
          <w:b/>
        </w:rPr>
      </w:pPr>
      <w:r>
        <w:rPr>
          <w:b/>
        </w:rPr>
        <w:t>Observation 2: Depending on the frequency of the occurrence of the underlying use case, full flushing of UE capabilities may or may not present a big problem (i.e. worst case is that a new UE capability ID is allocated and capabilities are uploaded again).</w:t>
      </w:r>
    </w:p>
    <w:p w14:paraId="2AB643C3" w14:textId="1FDBA684" w:rsidR="00582872" w:rsidRDefault="00582872" w:rsidP="00A209D6">
      <w:pPr>
        <w:rPr>
          <w:b/>
        </w:rPr>
      </w:pPr>
      <w:r>
        <w:rPr>
          <w:b/>
        </w:rPr>
        <w:lastRenderedPageBreak/>
        <w:t>Proposal 1: RAN2 to discuss the different use cases when UE capability may change and their frequency of occurrence</w:t>
      </w:r>
      <w:r w:rsidR="00560363">
        <w:rPr>
          <w:b/>
        </w:rPr>
        <w:t xml:space="preserve"> (and LSing with SA2 is required).</w:t>
      </w:r>
    </w:p>
    <w:p w14:paraId="744CA1B4" w14:textId="1BD2DF03" w:rsidR="00687B5D" w:rsidRDefault="00687B5D" w:rsidP="00A209D6">
      <w:r>
        <w:t xml:space="preserve">If it is proven that there are valid use cases which require UE capabilities to be updated frequently, then there needs to be a discussion for the possible solutions for the network to be informed. </w:t>
      </w:r>
      <w:r w:rsidRPr="00687B5D">
        <w:t>There</w:t>
      </w:r>
      <w:r>
        <w:t xml:space="preserve"> are several pros/cons that may have to be considered.</w:t>
      </w:r>
    </w:p>
    <w:tbl>
      <w:tblPr>
        <w:tblStyle w:val="TableGrid"/>
        <w:tblW w:w="0" w:type="auto"/>
        <w:tblLook w:val="04A0" w:firstRow="1" w:lastRow="0" w:firstColumn="1" w:lastColumn="0" w:noHBand="0" w:noVBand="1"/>
      </w:tblPr>
      <w:tblGrid>
        <w:gridCol w:w="2972"/>
        <w:gridCol w:w="3448"/>
        <w:gridCol w:w="3211"/>
      </w:tblGrid>
      <w:tr w:rsidR="00687B5D" w14:paraId="49F83087" w14:textId="77777777" w:rsidTr="00D14267">
        <w:tc>
          <w:tcPr>
            <w:tcW w:w="2972" w:type="dxa"/>
          </w:tcPr>
          <w:p w14:paraId="47F95C48" w14:textId="1DF01E1F" w:rsidR="00687B5D" w:rsidRPr="00531DE9" w:rsidRDefault="00531DE9" w:rsidP="00531DE9">
            <w:pPr>
              <w:jc w:val="center"/>
              <w:rPr>
                <w:b/>
              </w:rPr>
            </w:pPr>
            <w:r w:rsidRPr="00531DE9">
              <w:rPr>
                <w:b/>
              </w:rPr>
              <w:t>Possible approach</w:t>
            </w:r>
          </w:p>
        </w:tc>
        <w:tc>
          <w:tcPr>
            <w:tcW w:w="3448" w:type="dxa"/>
          </w:tcPr>
          <w:p w14:paraId="4456147E" w14:textId="45A59F1A" w:rsidR="00687B5D" w:rsidRPr="00531DE9" w:rsidRDefault="00531DE9" w:rsidP="00531DE9">
            <w:pPr>
              <w:jc w:val="center"/>
              <w:rPr>
                <w:b/>
              </w:rPr>
            </w:pPr>
            <w:r w:rsidRPr="001A5573">
              <w:rPr>
                <w:b/>
                <w:highlight w:val="green"/>
              </w:rPr>
              <w:t>Pros</w:t>
            </w:r>
          </w:p>
        </w:tc>
        <w:tc>
          <w:tcPr>
            <w:tcW w:w="3211" w:type="dxa"/>
          </w:tcPr>
          <w:p w14:paraId="355CF38D" w14:textId="004967EA" w:rsidR="00687B5D" w:rsidRPr="001A5573" w:rsidRDefault="00531DE9" w:rsidP="00531DE9">
            <w:pPr>
              <w:jc w:val="center"/>
              <w:rPr>
                <w:b/>
              </w:rPr>
            </w:pPr>
            <w:r w:rsidRPr="001A5573">
              <w:rPr>
                <w:b/>
                <w:highlight w:val="red"/>
              </w:rPr>
              <w:t>Cons</w:t>
            </w:r>
          </w:p>
        </w:tc>
      </w:tr>
      <w:tr w:rsidR="00687B5D" w14:paraId="2191D16B" w14:textId="77777777" w:rsidTr="00D14267">
        <w:tc>
          <w:tcPr>
            <w:tcW w:w="2972" w:type="dxa"/>
          </w:tcPr>
          <w:p w14:paraId="516A8FBF" w14:textId="3CB0E850" w:rsidR="00687B5D" w:rsidRDefault="00531DE9" w:rsidP="00531DE9">
            <w:pPr>
              <w:pStyle w:val="ListParagraph"/>
              <w:numPr>
                <w:ilvl w:val="0"/>
                <w:numId w:val="8"/>
              </w:numPr>
            </w:pPr>
            <w:r>
              <w:t>Reallocate UE capability ID</w:t>
            </w:r>
            <w:r w:rsidR="0056174F">
              <w:t xml:space="preserve"> [1] </w:t>
            </w:r>
          </w:p>
        </w:tc>
        <w:tc>
          <w:tcPr>
            <w:tcW w:w="3448" w:type="dxa"/>
          </w:tcPr>
          <w:p w14:paraId="1AAA7D8B" w14:textId="77777777" w:rsidR="00687B5D" w:rsidRDefault="0004062F" w:rsidP="0004062F">
            <w:r>
              <w:t>a. Simple solution requiring no additional coherency checks in NG-RAN (e.g. merge of updated capabilities).</w:t>
            </w:r>
          </w:p>
          <w:p w14:paraId="00197106" w14:textId="33C24900" w:rsidR="0004062F" w:rsidRDefault="0004062F" w:rsidP="0004062F">
            <w:r>
              <w:t>b. Existing NAS procedures may be reused and there are no impacts to RAN2 (except reallocation of UE Capability ID).</w:t>
            </w:r>
          </w:p>
        </w:tc>
        <w:tc>
          <w:tcPr>
            <w:tcW w:w="3211" w:type="dxa"/>
          </w:tcPr>
          <w:p w14:paraId="6B11B677" w14:textId="517E85E1" w:rsidR="00687B5D" w:rsidRDefault="0004062F" w:rsidP="00A209D6">
            <w:r>
              <w:t>a. If frequency of occurrence of scenario is high, this vitiates the basic purpose of the UE Capability ID feature.</w:t>
            </w:r>
          </w:p>
        </w:tc>
      </w:tr>
      <w:tr w:rsidR="00687B5D" w14:paraId="6922D8A4" w14:textId="77777777" w:rsidTr="00D14267">
        <w:tc>
          <w:tcPr>
            <w:tcW w:w="2972" w:type="dxa"/>
          </w:tcPr>
          <w:p w14:paraId="721BC36B" w14:textId="3FCCE9DE" w:rsidR="00687B5D" w:rsidRDefault="00531DE9" w:rsidP="00531DE9">
            <w:pPr>
              <w:pStyle w:val="ListParagraph"/>
              <w:numPr>
                <w:ilvl w:val="0"/>
                <w:numId w:val="8"/>
              </w:numPr>
            </w:pPr>
            <w:r>
              <w:t>Delta signalling on baseline</w:t>
            </w:r>
            <w:r w:rsidR="0056174F">
              <w:t xml:space="preserve"> [</w:t>
            </w:r>
            <w:r w:rsidR="00F42F9F">
              <w:t>4</w:t>
            </w:r>
            <w:r w:rsidR="0056174F">
              <w:t xml:space="preserve">] </w:t>
            </w:r>
            <w:r w:rsidR="00F42F9F">
              <w:t xml:space="preserve">(i.e. </w:t>
            </w:r>
            <w:r w:rsidR="004B5ABA">
              <w:t>whole-nine-yards-approach</w:t>
            </w:r>
            <w:r w:rsidR="00F42F9F">
              <w:t>)</w:t>
            </w:r>
            <w:r w:rsidR="004B5ABA">
              <w:t xml:space="preserve"> </w:t>
            </w:r>
          </w:p>
        </w:tc>
        <w:tc>
          <w:tcPr>
            <w:tcW w:w="3448" w:type="dxa"/>
          </w:tcPr>
          <w:p w14:paraId="089357FE" w14:textId="77777777" w:rsidR="00687B5D" w:rsidRDefault="0004062F" w:rsidP="0004062F">
            <w:pPr>
              <w:pStyle w:val="ListParagraph"/>
              <w:numPr>
                <w:ilvl w:val="0"/>
                <w:numId w:val="10"/>
              </w:numPr>
            </w:pPr>
            <w:r>
              <w:t>Allows fine-grained update of UE capability</w:t>
            </w:r>
          </w:p>
          <w:p w14:paraId="292F8914" w14:textId="77777777" w:rsidR="0004062F" w:rsidRDefault="0004062F" w:rsidP="0004062F">
            <w:pPr>
              <w:pStyle w:val="ListParagraph"/>
              <w:numPr>
                <w:ilvl w:val="0"/>
                <w:numId w:val="10"/>
              </w:numPr>
            </w:pPr>
            <w:r>
              <w:t>Approach allows keeping the signalling minimum when underlying UE capabilities are changing rapidly.</w:t>
            </w:r>
          </w:p>
          <w:p w14:paraId="2E24E000" w14:textId="20F79081" w:rsidR="0004062F" w:rsidRDefault="0004062F" w:rsidP="0004062F">
            <w:pPr>
              <w:pStyle w:val="ListParagraph"/>
              <w:numPr>
                <w:ilvl w:val="0"/>
                <w:numId w:val="10"/>
              </w:numPr>
            </w:pPr>
            <w:r>
              <w:t>Allows reuse of the same UE Capability ID (?)</w:t>
            </w:r>
          </w:p>
        </w:tc>
        <w:tc>
          <w:tcPr>
            <w:tcW w:w="3211" w:type="dxa"/>
          </w:tcPr>
          <w:p w14:paraId="3A4DE5A9" w14:textId="77777777" w:rsidR="00687B5D" w:rsidRDefault="00B0253C" w:rsidP="0004062F">
            <w:pPr>
              <w:pStyle w:val="ListParagraph"/>
              <w:numPr>
                <w:ilvl w:val="0"/>
                <w:numId w:val="11"/>
              </w:numPr>
            </w:pPr>
            <w:r>
              <w:t>High cost of specification and implementation</w:t>
            </w:r>
            <w:r w:rsidR="001A5573">
              <w:t xml:space="preserve"> at both UE and NG-RAN</w:t>
            </w:r>
          </w:p>
          <w:p w14:paraId="7578D8FC" w14:textId="77777777" w:rsidR="00B547EC" w:rsidRDefault="001A5573" w:rsidP="0004062F">
            <w:pPr>
              <w:pStyle w:val="ListParagraph"/>
              <w:numPr>
                <w:ilvl w:val="0"/>
                <w:numId w:val="11"/>
              </w:numPr>
            </w:pPr>
            <w:r>
              <w:t>Requires careful merge of updated capabilities</w:t>
            </w:r>
            <w:r w:rsidR="00B547EC">
              <w:t>.</w:t>
            </w:r>
          </w:p>
          <w:p w14:paraId="6AE63991" w14:textId="77777777" w:rsidR="001A5573" w:rsidRDefault="00B547EC" w:rsidP="0004062F">
            <w:pPr>
              <w:pStyle w:val="ListParagraph"/>
              <w:numPr>
                <w:ilvl w:val="0"/>
                <w:numId w:val="11"/>
              </w:numPr>
            </w:pPr>
            <w:r>
              <w:t>R</w:t>
            </w:r>
            <w:r w:rsidR="001A5573">
              <w:t>isk of wrong merge may result in random reconfiguration failures leading to very difficult testing situations</w:t>
            </w:r>
            <w:r>
              <w:t>.</w:t>
            </w:r>
          </w:p>
          <w:p w14:paraId="57B22ADA" w14:textId="41DD7D5F" w:rsidR="00B547EC" w:rsidRDefault="00FC3CB4" w:rsidP="0004062F">
            <w:pPr>
              <w:pStyle w:val="ListParagraph"/>
              <w:numPr>
                <w:ilvl w:val="0"/>
                <w:numId w:val="11"/>
              </w:numPr>
            </w:pPr>
            <w:r>
              <w:t>If frequency of occurrence of scenario is low, the cost is far too high from specification and design.</w:t>
            </w:r>
          </w:p>
        </w:tc>
      </w:tr>
      <w:tr w:rsidR="00687B5D" w14:paraId="47131FD6" w14:textId="77777777" w:rsidTr="00D14267">
        <w:tc>
          <w:tcPr>
            <w:tcW w:w="2972" w:type="dxa"/>
          </w:tcPr>
          <w:p w14:paraId="78DDF78C" w14:textId="66C95079" w:rsidR="00687B5D" w:rsidRDefault="00531DE9" w:rsidP="00531DE9">
            <w:pPr>
              <w:pStyle w:val="ListParagraph"/>
              <w:numPr>
                <w:ilvl w:val="0"/>
                <w:numId w:val="8"/>
              </w:numPr>
            </w:pPr>
            <w:r>
              <w:t xml:space="preserve">Signalling </w:t>
            </w:r>
            <w:r w:rsidR="0056174F">
              <w:t>incapability by additional container</w:t>
            </w:r>
            <w:r w:rsidR="004B5ABA">
              <w:t xml:space="preserve"> [1?] and/or limiting use case (e.g. RAN on/off) [3]</w:t>
            </w:r>
          </w:p>
        </w:tc>
        <w:tc>
          <w:tcPr>
            <w:tcW w:w="3448" w:type="dxa"/>
          </w:tcPr>
          <w:p w14:paraId="43C6F460" w14:textId="77777777" w:rsidR="00687B5D" w:rsidRDefault="00981F4B" w:rsidP="00981F4B">
            <w:pPr>
              <w:pStyle w:val="ListParagraph"/>
              <w:numPr>
                <w:ilvl w:val="0"/>
                <w:numId w:val="12"/>
              </w:numPr>
            </w:pPr>
            <w:r>
              <w:t>Approach allows simple signalling for UE to indicate events at higher level of granularity (e.g. RAT ON/OFF)</w:t>
            </w:r>
          </w:p>
          <w:p w14:paraId="766EAC3E" w14:textId="73D56D77" w:rsidR="00981F4B" w:rsidRDefault="00981F4B" w:rsidP="00981F4B">
            <w:pPr>
              <w:pStyle w:val="ListParagraph"/>
              <w:numPr>
                <w:ilvl w:val="0"/>
                <w:numId w:val="12"/>
              </w:numPr>
            </w:pPr>
            <w:r>
              <w:t>Keep existing UE Capability ID and interpret jointly with the “incapability” container.</w:t>
            </w:r>
          </w:p>
        </w:tc>
        <w:tc>
          <w:tcPr>
            <w:tcW w:w="3211" w:type="dxa"/>
          </w:tcPr>
          <w:p w14:paraId="529039FA" w14:textId="77777777" w:rsidR="00981F4B" w:rsidRDefault="00981F4B" w:rsidP="00981F4B">
            <w:pPr>
              <w:pStyle w:val="ListParagraph"/>
              <w:numPr>
                <w:ilvl w:val="0"/>
                <w:numId w:val="13"/>
              </w:numPr>
            </w:pPr>
            <w:r>
              <w:t>Support for limited use cases which can be signalled at high level.</w:t>
            </w:r>
          </w:p>
          <w:p w14:paraId="0ED2C66E" w14:textId="0F4CB0F0" w:rsidR="00687B5D" w:rsidRDefault="00981F4B" w:rsidP="00981F4B">
            <w:pPr>
              <w:pStyle w:val="ListParagraph"/>
              <w:numPr>
                <w:ilvl w:val="0"/>
                <w:numId w:val="13"/>
              </w:numPr>
            </w:pPr>
            <w:r>
              <w:t xml:space="preserve">Does not allow fine grained updates. </w:t>
            </w:r>
          </w:p>
        </w:tc>
      </w:tr>
      <w:tr w:rsidR="00687B5D" w14:paraId="11E252F2" w14:textId="77777777" w:rsidTr="00D14267">
        <w:tc>
          <w:tcPr>
            <w:tcW w:w="2972" w:type="dxa"/>
          </w:tcPr>
          <w:p w14:paraId="43B91F39" w14:textId="7CDD7289" w:rsidR="00687B5D" w:rsidRDefault="004B5ABA" w:rsidP="00531DE9">
            <w:pPr>
              <w:pStyle w:val="ListParagraph"/>
              <w:numPr>
                <w:ilvl w:val="0"/>
                <w:numId w:val="8"/>
              </w:numPr>
            </w:pPr>
            <w:r>
              <w:t>Delta signalling with deflate [2]</w:t>
            </w:r>
          </w:p>
        </w:tc>
        <w:tc>
          <w:tcPr>
            <w:tcW w:w="3448" w:type="dxa"/>
          </w:tcPr>
          <w:p w14:paraId="2FEF9650" w14:textId="62DA00BC" w:rsidR="00687B5D" w:rsidRDefault="00981F4B" w:rsidP="00981F4B">
            <w:pPr>
              <w:pStyle w:val="ListParagraph"/>
              <w:numPr>
                <w:ilvl w:val="0"/>
                <w:numId w:val="14"/>
              </w:numPr>
            </w:pPr>
            <w:r>
              <w:t>Similar to 2</w:t>
            </w:r>
            <w:r w:rsidR="009531DC">
              <w:t xml:space="preserve"> with delta part compressed with deflate</w:t>
            </w:r>
            <w:r>
              <w:t>.</w:t>
            </w:r>
          </w:p>
        </w:tc>
        <w:tc>
          <w:tcPr>
            <w:tcW w:w="3211" w:type="dxa"/>
          </w:tcPr>
          <w:p w14:paraId="212F258F" w14:textId="77777777" w:rsidR="00687B5D" w:rsidRDefault="00981F4B" w:rsidP="00981F4B">
            <w:pPr>
              <w:pStyle w:val="ListParagraph"/>
              <w:numPr>
                <w:ilvl w:val="0"/>
                <w:numId w:val="15"/>
              </w:numPr>
            </w:pPr>
            <w:r>
              <w:t>Similar to 2.</w:t>
            </w:r>
          </w:p>
          <w:p w14:paraId="15665547" w14:textId="03DB286A" w:rsidR="009531DC" w:rsidRDefault="009531DC" w:rsidP="00981F4B">
            <w:pPr>
              <w:pStyle w:val="ListParagraph"/>
              <w:numPr>
                <w:ilvl w:val="0"/>
                <w:numId w:val="15"/>
              </w:numPr>
            </w:pPr>
            <w:r>
              <w:t>Additional overhead of deflate.</w:t>
            </w:r>
          </w:p>
        </w:tc>
      </w:tr>
    </w:tbl>
    <w:p w14:paraId="03C239AE" w14:textId="5B820880" w:rsidR="00687B5D" w:rsidRDefault="00687B5D" w:rsidP="00A209D6"/>
    <w:p w14:paraId="268D0DA3" w14:textId="789EC055" w:rsidR="005F54E0" w:rsidRDefault="00E95106" w:rsidP="00A209D6">
      <w:pPr>
        <w:rPr>
          <w:b/>
        </w:rPr>
      </w:pPr>
      <w:r>
        <w:rPr>
          <w:b/>
        </w:rPr>
        <w:t xml:space="preserve">Observation 3: Each of the possible solutions to address the topic have relative merits/demerits. The whole-nine-yards approach for delta signalling requires the most specification and implementation work. </w:t>
      </w:r>
    </w:p>
    <w:p w14:paraId="425E73E4" w14:textId="1C59DB34" w:rsidR="00E95106" w:rsidRDefault="00E95106" w:rsidP="00A209D6">
      <w:pPr>
        <w:rPr>
          <w:b/>
        </w:rPr>
      </w:pPr>
      <w:r>
        <w:rPr>
          <w:b/>
        </w:rPr>
        <w:t xml:space="preserve">Proposal 2: RAN2 to choose full-delta signalling in [4] and [2] </w:t>
      </w:r>
      <w:r w:rsidRPr="00E95106">
        <w:rPr>
          <w:b/>
          <w:i/>
        </w:rPr>
        <w:t>if and only if</w:t>
      </w:r>
      <w:r>
        <w:rPr>
          <w:b/>
        </w:rPr>
        <w:t xml:space="preserve"> there is enough evidence that the UE capability updates will be frequent.</w:t>
      </w:r>
    </w:p>
    <w:p w14:paraId="4798B994" w14:textId="11331D1C" w:rsidR="00E95106" w:rsidRPr="00687B5D" w:rsidRDefault="00E95106" w:rsidP="00A209D6">
      <w:r>
        <w:rPr>
          <w:b/>
        </w:rPr>
        <w:t>Proposal 3: RAN2 make a working assumption that the simplest approach of reallocation of UE capability ID approach is the default option supported by all UEs.</w:t>
      </w:r>
    </w:p>
    <w:p w14:paraId="5FF2457F" w14:textId="3F50C0CA" w:rsidR="00A209D6" w:rsidRPr="006E13D1" w:rsidRDefault="00687B5D" w:rsidP="00A209D6">
      <w:pPr>
        <w:pStyle w:val="Heading1"/>
      </w:pPr>
      <w:r>
        <w:t>3</w:t>
      </w:r>
      <w:r w:rsidR="00A209D6" w:rsidRPr="006E13D1">
        <w:tab/>
      </w:r>
      <w:r>
        <w:t>Conclusion</w:t>
      </w:r>
    </w:p>
    <w:p w14:paraId="0450BF5F" w14:textId="1C5ACEBF" w:rsidR="00E95106" w:rsidRPr="00E95106" w:rsidRDefault="00E95106" w:rsidP="00E95106">
      <w:r w:rsidRPr="00E95106">
        <w:t xml:space="preserve">Based on the arguments in the paper, we </w:t>
      </w:r>
      <w:r>
        <w:t>reiterate the observations and propose the</w:t>
      </w:r>
      <w:r w:rsidRPr="00E95106">
        <w:t xml:space="preserve"> following:</w:t>
      </w:r>
    </w:p>
    <w:p w14:paraId="492BB649" w14:textId="686EF8EE" w:rsidR="00E95106" w:rsidRDefault="00E95106" w:rsidP="00E95106">
      <w:pPr>
        <w:rPr>
          <w:b/>
        </w:rPr>
      </w:pPr>
      <w:r w:rsidRPr="00582872">
        <w:rPr>
          <w:b/>
        </w:rPr>
        <w:t xml:space="preserve">Observation 1: </w:t>
      </w:r>
      <w:r>
        <w:rPr>
          <w:b/>
        </w:rPr>
        <w:t>A small change in UE capabilities requires the network to flush the entire stored set and retrieve the capabilities from the UE once again.</w:t>
      </w:r>
    </w:p>
    <w:p w14:paraId="2CFCFB64" w14:textId="57361222" w:rsidR="00E95106" w:rsidRDefault="00E95106" w:rsidP="00E95106">
      <w:pPr>
        <w:rPr>
          <w:b/>
        </w:rPr>
      </w:pPr>
      <w:r>
        <w:rPr>
          <w:b/>
        </w:rPr>
        <w:lastRenderedPageBreak/>
        <w:t>Observation 2: Depending on the frequency of the occurrence of the underlying use case, full flushing of UE capabilities may or may not present a big problem (</w:t>
      </w:r>
      <w:r w:rsidR="00560363">
        <w:rPr>
          <w:b/>
        </w:rPr>
        <w:t xml:space="preserve">i.e. </w:t>
      </w:r>
      <w:r>
        <w:rPr>
          <w:b/>
        </w:rPr>
        <w:t xml:space="preserve">worst case is that a new UE capability ID is </w:t>
      </w:r>
      <w:r w:rsidR="00560363">
        <w:rPr>
          <w:b/>
        </w:rPr>
        <w:t>allocated</w:t>
      </w:r>
      <w:r w:rsidR="00E427DB">
        <w:rPr>
          <w:b/>
        </w:rPr>
        <w:t>,</w:t>
      </w:r>
      <w:r w:rsidR="00560363">
        <w:rPr>
          <w:b/>
        </w:rPr>
        <w:t xml:space="preserve"> and capabilities are uploaded again</w:t>
      </w:r>
      <w:r>
        <w:rPr>
          <w:b/>
        </w:rPr>
        <w:t>).</w:t>
      </w:r>
    </w:p>
    <w:p w14:paraId="3A72FB58" w14:textId="5C4B3D5B" w:rsidR="00E95106" w:rsidRDefault="00E95106" w:rsidP="00E95106">
      <w:pPr>
        <w:rPr>
          <w:b/>
        </w:rPr>
      </w:pPr>
      <w:r>
        <w:rPr>
          <w:b/>
        </w:rPr>
        <w:t>Observation 3: Each of the possible solutions to address the topic have relative merits/demerits. The whole-nine-yards approach for delta signalling requires the most specification and implementation work.</w:t>
      </w:r>
    </w:p>
    <w:p w14:paraId="6C60FFDC" w14:textId="73F7752B" w:rsidR="00A209D6" w:rsidRDefault="00E95106" w:rsidP="00E95106">
      <w:pPr>
        <w:rPr>
          <w:b/>
        </w:rPr>
      </w:pPr>
      <w:r>
        <w:rPr>
          <w:b/>
        </w:rPr>
        <w:t>Proposal 1: RAN2 to discuss the different use cases when UE capability may change and their frequency of occurrence</w:t>
      </w:r>
      <w:r w:rsidR="00560363">
        <w:rPr>
          <w:b/>
        </w:rPr>
        <w:t xml:space="preserve"> (and LSing with SA2 is required)</w:t>
      </w:r>
      <w:r>
        <w:rPr>
          <w:b/>
        </w:rPr>
        <w:t>.</w:t>
      </w:r>
    </w:p>
    <w:p w14:paraId="6D4D7876" w14:textId="77777777" w:rsidR="00E95106" w:rsidRDefault="00E95106" w:rsidP="00E95106">
      <w:pPr>
        <w:rPr>
          <w:b/>
        </w:rPr>
      </w:pPr>
      <w:r>
        <w:rPr>
          <w:b/>
        </w:rPr>
        <w:t xml:space="preserve">Proposal 2: RAN2 to choose full-delta signalling in [4] and [2] </w:t>
      </w:r>
      <w:r w:rsidRPr="00E95106">
        <w:rPr>
          <w:b/>
          <w:i/>
        </w:rPr>
        <w:t>if and only if</w:t>
      </w:r>
      <w:r>
        <w:rPr>
          <w:b/>
        </w:rPr>
        <w:t xml:space="preserve"> there is enough evidence that the UE capability updates will be frequent.</w:t>
      </w:r>
    </w:p>
    <w:p w14:paraId="501339A8" w14:textId="77777777" w:rsidR="00E95106" w:rsidRPr="00687B5D" w:rsidRDefault="00E95106" w:rsidP="00E95106">
      <w:r>
        <w:rPr>
          <w:b/>
        </w:rPr>
        <w:t>Proposal 3: RAN2 make a working assumption that the simplest approach of reallocation of UE capability ID approach is the default option supported by all UEs.</w:t>
      </w:r>
    </w:p>
    <w:p w14:paraId="7D973F99" w14:textId="1131B579" w:rsidR="00531DE9" w:rsidRPr="006E13D1" w:rsidRDefault="00531DE9" w:rsidP="00531DE9">
      <w:pPr>
        <w:pStyle w:val="Heading1"/>
      </w:pPr>
      <w:r>
        <w:t>4</w:t>
      </w:r>
      <w:r w:rsidRPr="006E13D1">
        <w:tab/>
      </w:r>
      <w:r>
        <w:t>References</w:t>
      </w:r>
    </w:p>
    <w:p w14:paraId="3B5C7F05" w14:textId="44CEAF99" w:rsidR="00531DE9" w:rsidRDefault="00531DE9" w:rsidP="00531DE9">
      <w:r>
        <w:t xml:space="preserve">[1] </w:t>
      </w:r>
      <w:r w:rsidRPr="00531DE9">
        <w:rPr>
          <w:b/>
        </w:rPr>
        <w:t>R2-1900641</w:t>
      </w:r>
      <w:r>
        <w:t>: RAN Aspects on changes of the UE radio capabilities, Ericsson</w:t>
      </w:r>
    </w:p>
    <w:p w14:paraId="6681B097" w14:textId="483354F3" w:rsidR="00531DE9" w:rsidRDefault="00531DE9" w:rsidP="00531DE9">
      <w:r>
        <w:t xml:space="preserve">[2] </w:t>
      </w:r>
      <w:r w:rsidRPr="00531DE9">
        <w:rPr>
          <w:b/>
        </w:rPr>
        <w:t>R2-1900268</w:t>
      </w:r>
      <w:r>
        <w:t>: Consideration on Delta Signaling for ID-based Solution,</w:t>
      </w:r>
      <w:r>
        <w:tab/>
        <w:t>CATT</w:t>
      </w:r>
    </w:p>
    <w:p w14:paraId="18607F87" w14:textId="041380E9" w:rsidR="00531DE9" w:rsidRDefault="00531DE9" w:rsidP="00531DE9">
      <w:r>
        <w:t xml:space="preserve">[3] </w:t>
      </w:r>
      <w:r w:rsidRPr="00531DE9">
        <w:rPr>
          <w:b/>
        </w:rPr>
        <w:t>R2-1900494</w:t>
      </w:r>
      <w:r>
        <w:t>: Consideration on the delta signalling of UE capability ID, vivo</w:t>
      </w:r>
    </w:p>
    <w:p w14:paraId="60449C3F" w14:textId="4BFD714C" w:rsidR="00A209D6" w:rsidRDefault="00531DE9" w:rsidP="00531DE9">
      <w:r>
        <w:t xml:space="preserve">[4] </w:t>
      </w:r>
      <w:r w:rsidRPr="00531DE9">
        <w:rPr>
          <w:b/>
        </w:rPr>
        <w:t>R2-1900824</w:t>
      </w:r>
      <w:r>
        <w:t>: Delta signalling for UE capability indication, MediaTek Inc.</w:t>
      </w:r>
    </w:p>
    <w:p w14:paraId="54F041FB" w14:textId="506EF0F0" w:rsidR="00F42F9F" w:rsidRPr="00F42F9F" w:rsidRDefault="00F42F9F" w:rsidP="00531DE9">
      <w:r>
        <w:t xml:space="preserve">[5] </w:t>
      </w:r>
      <w:r w:rsidRPr="00F42F9F">
        <w:rPr>
          <w:b/>
        </w:rPr>
        <w:t>RP-190657</w:t>
      </w:r>
      <w:r>
        <w:rPr>
          <w:b/>
        </w:rPr>
        <w:t xml:space="preserve">: </w:t>
      </w:r>
      <w:r w:rsidR="00BE5633">
        <w:t>Approved</w:t>
      </w:r>
      <w:r w:rsidRPr="00F42F9F">
        <w:t xml:space="preserve"> WI on optimisations on UE radio capability signalling</w:t>
      </w:r>
      <w:r>
        <w:t>, RAN plenary</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A03BB" w14:textId="77777777" w:rsidR="0069546D" w:rsidRDefault="0069546D">
      <w:r>
        <w:separator/>
      </w:r>
    </w:p>
  </w:endnote>
  <w:endnote w:type="continuationSeparator" w:id="0">
    <w:p w14:paraId="0207BF9D" w14:textId="77777777" w:rsidR="0069546D" w:rsidRDefault="00695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52DF4" w14:textId="77777777" w:rsidR="0069546D" w:rsidRDefault="0069546D">
      <w:r>
        <w:separator/>
      </w:r>
    </w:p>
  </w:footnote>
  <w:footnote w:type="continuationSeparator" w:id="0">
    <w:p w14:paraId="347D96C8" w14:textId="77777777" w:rsidR="0069546D" w:rsidRDefault="00695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8C15B9"/>
    <w:multiLevelType w:val="hybridMultilevel"/>
    <w:tmpl w:val="FBC2F9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3F6A68"/>
    <w:multiLevelType w:val="hybridMultilevel"/>
    <w:tmpl w:val="89D29CD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3D5B32"/>
    <w:multiLevelType w:val="hybridMultilevel"/>
    <w:tmpl w:val="1512ACF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9CC10EC"/>
    <w:multiLevelType w:val="hybridMultilevel"/>
    <w:tmpl w:val="869485F6"/>
    <w:lvl w:ilvl="0" w:tplc="7E54E8B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1976374"/>
    <w:multiLevelType w:val="hybridMultilevel"/>
    <w:tmpl w:val="42A420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052E3D"/>
    <w:multiLevelType w:val="hybridMultilevel"/>
    <w:tmpl w:val="50E4CB2E"/>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5BB0B0C"/>
    <w:multiLevelType w:val="hybridMultilevel"/>
    <w:tmpl w:val="49686E3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C982A9F"/>
    <w:multiLevelType w:val="hybridMultilevel"/>
    <w:tmpl w:val="E9CAAE8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0"/>
  </w:num>
  <w:num w:numId="9">
    <w:abstractNumId w:val="7"/>
  </w:num>
  <w:num w:numId="10">
    <w:abstractNumId w:val="12"/>
  </w:num>
  <w:num w:numId="11">
    <w:abstractNumId w:val="13"/>
  </w:num>
  <w:num w:numId="12">
    <w:abstractNumId w:val="6"/>
  </w:num>
  <w:num w:numId="13">
    <w:abstractNumId w:val="11"/>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062F"/>
    <w:rsid w:val="00073C9C"/>
    <w:rsid w:val="00080512"/>
    <w:rsid w:val="00090468"/>
    <w:rsid w:val="000B7BCF"/>
    <w:rsid w:val="000C522B"/>
    <w:rsid w:val="000D58AB"/>
    <w:rsid w:val="00112F1A"/>
    <w:rsid w:val="00145075"/>
    <w:rsid w:val="00172C7E"/>
    <w:rsid w:val="001741A0"/>
    <w:rsid w:val="00175FA0"/>
    <w:rsid w:val="001856E3"/>
    <w:rsid w:val="00194CD0"/>
    <w:rsid w:val="001A5573"/>
    <w:rsid w:val="001B49C9"/>
    <w:rsid w:val="001C4F79"/>
    <w:rsid w:val="001F168B"/>
    <w:rsid w:val="001F7831"/>
    <w:rsid w:val="00204045"/>
    <w:rsid w:val="0020712B"/>
    <w:rsid w:val="0022606D"/>
    <w:rsid w:val="00231728"/>
    <w:rsid w:val="002610D8"/>
    <w:rsid w:val="002747EC"/>
    <w:rsid w:val="002855BF"/>
    <w:rsid w:val="002F0D22"/>
    <w:rsid w:val="003172DC"/>
    <w:rsid w:val="0032534E"/>
    <w:rsid w:val="00325AE3"/>
    <w:rsid w:val="00326069"/>
    <w:rsid w:val="00351CEE"/>
    <w:rsid w:val="0035462D"/>
    <w:rsid w:val="00364B41"/>
    <w:rsid w:val="00383096"/>
    <w:rsid w:val="003A41EF"/>
    <w:rsid w:val="003B40AD"/>
    <w:rsid w:val="003C4E37"/>
    <w:rsid w:val="003E16BE"/>
    <w:rsid w:val="003F4E28"/>
    <w:rsid w:val="004006E8"/>
    <w:rsid w:val="00401855"/>
    <w:rsid w:val="00465587"/>
    <w:rsid w:val="00477455"/>
    <w:rsid w:val="004A1F7B"/>
    <w:rsid w:val="004B5ABA"/>
    <w:rsid w:val="004C44D2"/>
    <w:rsid w:val="004D3578"/>
    <w:rsid w:val="004D380D"/>
    <w:rsid w:val="004E213A"/>
    <w:rsid w:val="00503171"/>
    <w:rsid w:val="00506C28"/>
    <w:rsid w:val="00531DE9"/>
    <w:rsid w:val="00534DA0"/>
    <w:rsid w:val="00543E6C"/>
    <w:rsid w:val="00560363"/>
    <w:rsid w:val="0056174F"/>
    <w:rsid w:val="00565087"/>
    <w:rsid w:val="0056573F"/>
    <w:rsid w:val="00582872"/>
    <w:rsid w:val="005F54E0"/>
    <w:rsid w:val="00611566"/>
    <w:rsid w:val="00646D99"/>
    <w:rsid w:val="00656910"/>
    <w:rsid w:val="00687B5D"/>
    <w:rsid w:val="0069546D"/>
    <w:rsid w:val="006C66D8"/>
    <w:rsid w:val="006D1E24"/>
    <w:rsid w:val="006E1417"/>
    <w:rsid w:val="006F6A2C"/>
    <w:rsid w:val="00710201"/>
    <w:rsid w:val="0072073A"/>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8D502B"/>
    <w:rsid w:val="008F396F"/>
    <w:rsid w:val="0090271F"/>
    <w:rsid w:val="00902DB9"/>
    <w:rsid w:val="0090466A"/>
    <w:rsid w:val="00936071"/>
    <w:rsid w:val="00940212"/>
    <w:rsid w:val="00942EC2"/>
    <w:rsid w:val="009531DC"/>
    <w:rsid w:val="00961B32"/>
    <w:rsid w:val="00962509"/>
    <w:rsid w:val="00970DB3"/>
    <w:rsid w:val="00974BB0"/>
    <w:rsid w:val="00981F4B"/>
    <w:rsid w:val="009A0AF3"/>
    <w:rsid w:val="009B07CD"/>
    <w:rsid w:val="009C19E9"/>
    <w:rsid w:val="009D74A6"/>
    <w:rsid w:val="00A10F02"/>
    <w:rsid w:val="00A204CA"/>
    <w:rsid w:val="00A209D6"/>
    <w:rsid w:val="00A53724"/>
    <w:rsid w:val="00A54B2B"/>
    <w:rsid w:val="00A82346"/>
    <w:rsid w:val="00A9671C"/>
    <w:rsid w:val="00AA1553"/>
    <w:rsid w:val="00B0253C"/>
    <w:rsid w:val="00B05380"/>
    <w:rsid w:val="00B05962"/>
    <w:rsid w:val="00B15449"/>
    <w:rsid w:val="00B27303"/>
    <w:rsid w:val="00B47FD1"/>
    <w:rsid w:val="00B516BB"/>
    <w:rsid w:val="00B547EC"/>
    <w:rsid w:val="00B84DB2"/>
    <w:rsid w:val="00BC3555"/>
    <w:rsid w:val="00BE5633"/>
    <w:rsid w:val="00C12B51"/>
    <w:rsid w:val="00C24650"/>
    <w:rsid w:val="00C25465"/>
    <w:rsid w:val="00C33079"/>
    <w:rsid w:val="00C83A13"/>
    <w:rsid w:val="00C9068C"/>
    <w:rsid w:val="00C92967"/>
    <w:rsid w:val="00CA3D0C"/>
    <w:rsid w:val="00CA654B"/>
    <w:rsid w:val="00CB5EB9"/>
    <w:rsid w:val="00CB72B8"/>
    <w:rsid w:val="00CD4C7B"/>
    <w:rsid w:val="00D14267"/>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27DB"/>
    <w:rsid w:val="00E46C08"/>
    <w:rsid w:val="00E471CF"/>
    <w:rsid w:val="00E62835"/>
    <w:rsid w:val="00E77645"/>
    <w:rsid w:val="00E83697"/>
    <w:rsid w:val="00E95106"/>
    <w:rsid w:val="00EA66C9"/>
    <w:rsid w:val="00EC4A25"/>
    <w:rsid w:val="00F025A2"/>
    <w:rsid w:val="00F07388"/>
    <w:rsid w:val="00F2026E"/>
    <w:rsid w:val="00F2210A"/>
    <w:rsid w:val="00F37743"/>
    <w:rsid w:val="00F42F9F"/>
    <w:rsid w:val="00F54A3D"/>
    <w:rsid w:val="00F54CB0"/>
    <w:rsid w:val="00F653B8"/>
    <w:rsid w:val="00F71B89"/>
    <w:rsid w:val="00F7353C"/>
    <w:rsid w:val="00F76F8F"/>
    <w:rsid w:val="00F941DF"/>
    <w:rsid w:val="00FA1266"/>
    <w:rsid w:val="00FB36FA"/>
    <w:rsid w:val="00FC1192"/>
    <w:rsid w:val="00FC3CB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CB5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B5EB9"/>
    <w:rPr>
      <w:lang w:eastAsia="en-US"/>
    </w:rPr>
  </w:style>
  <w:style w:type="paragraph" w:styleId="ListParagraph">
    <w:name w:val="List Paragraph"/>
    <w:basedOn w:val="Normal"/>
    <w:uiPriority w:val="34"/>
    <w:qFormat/>
    <w:rsid w:val="00531D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98</TotalTime>
  <Pages>3</Pages>
  <Words>971</Words>
  <Characters>5540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59</cp:revision>
  <dcterms:created xsi:type="dcterms:W3CDTF">2016-08-12T03:53:00Z</dcterms:created>
  <dcterms:modified xsi:type="dcterms:W3CDTF">2019-03-28T20:04:00Z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ies>
</file>